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EF465" w14:textId="7F215C76" w:rsidR="0076728D" w:rsidRPr="00282726" w:rsidRDefault="0076728D" w:rsidP="00673182">
      <w:pPr>
        <w:autoSpaceDE w:val="0"/>
        <w:autoSpaceDN w:val="0"/>
        <w:adjustRightInd w:val="0"/>
        <w:spacing w:after="0" w:line="240" w:lineRule="auto"/>
        <w:jc w:val="center"/>
        <w:rPr>
          <w:rFonts w:ascii="Arial" w:hAnsi="Arial" w:cs="Arial"/>
          <w:b/>
          <w:bCs/>
          <w:sz w:val="32"/>
          <w:szCs w:val="32"/>
          <w:lang w:val="en"/>
        </w:rPr>
      </w:pPr>
      <w:r w:rsidRPr="00282726">
        <w:rPr>
          <w:rFonts w:ascii="Arial" w:hAnsi="Arial" w:cs="Arial"/>
          <w:noProof/>
          <w:sz w:val="32"/>
          <w:szCs w:val="32"/>
        </w:rPr>
        <w:drawing>
          <wp:anchor distT="0" distB="0" distL="114300" distR="114300" simplePos="0" relativeHeight="251659264" behindDoc="0" locked="0" layoutInCell="1" allowOverlap="1" wp14:anchorId="044FA5E2" wp14:editId="3481A404">
            <wp:simplePos x="0" y="0"/>
            <wp:positionH relativeFrom="page">
              <wp:posOffset>388620</wp:posOffset>
            </wp:positionH>
            <wp:positionV relativeFrom="paragraph">
              <wp:posOffset>-154305</wp:posOffset>
            </wp:positionV>
            <wp:extent cx="1371600" cy="13017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01750"/>
                    </a:xfrm>
                    <a:prstGeom prst="rect">
                      <a:avLst/>
                    </a:prstGeom>
                    <a:noFill/>
                  </pic:spPr>
                </pic:pic>
              </a:graphicData>
            </a:graphic>
            <wp14:sizeRelH relativeFrom="page">
              <wp14:pctWidth>0</wp14:pctWidth>
            </wp14:sizeRelH>
            <wp14:sizeRelV relativeFrom="page">
              <wp14:pctHeight>0</wp14:pctHeight>
            </wp14:sizeRelV>
          </wp:anchor>
        </w:drawing>
      </w:r>
      <w:r w:rsidRPr="00282726">
        <w:rPr>
          <w:rFonts w:ascii="Arial" w:hAnsi="Arial" w:cs="Arial"/>
          <w:b/>
          <w:bCs/>
          <w:sz w:val="32"/>
          <w:szCs w:val="32"/>
          <w:lang w:val="en"/>
        </w:rPr>
        <w:t>City of Laguna Hills</w:t>
      </w:r>
    </w:p>
    <w:p w14:paraId="1C6E607C" w14:textId="229D1452" w:rsidR="0076728D" w:rsidRPr="00282726" w:rsidRDefault="0076728D" w:rsidP="00673182">
      <w:pPr>
        <w:autoSpaceDE w:val="0"/>
        <w:autoSpaceDN w:val="0"/>
        <w:adjustRightInd w:val="0"/>
        <w:spacing w:after="0" w:line="240" w:lineRule="auto"/>
        <w:jc w:val="center"/>
        <w:rPr>
          <w:rFonts w:ascii="Arial" w:hAnsi="Arial" w:cs="Arial"/>
          <w:b/>
          <w:bCs/>
          <w:sz w:val="32"/>
          <w:szCs w:val="32"/>
        </w:rPr>
      </w:pPr>
      <w:r w:rsidRPr="00282726">
        <w:rPr>
          <w:rFonts w:ascii="Arial" w:hAnsi="Arial" w:cs="Arial"/>
          <w:b/>
          <w:bCs/>
          <w:sz w:val="32"/>
          <w:szCs w:val="32"/>
          <w:lang w:val="en"/>
        </w:rPr>
        <w:t xml:space="preserve">Building/Safety Division </w:t>
      </w:r>
    </w:p>
    <w:p w14:paraId="2EFE6A1F" w14:textId="45CA60A5" w:rsidR="00B96CC4" w:rsidRPr="00175005" w:rsidRDefault="00B96CC4" w:rsidP="00673182">
      <w:pPr>
        <w:autoSpaceDE w:val="0"/>
        <w:autoSpaceDN w:val="0"/>
        <w:adjustRightInd w:val="0"/>
        <w:spacing w:after="0" w:line="240" w:lineRule="auto"/>
        <w:jc w:val="center"/>
        <w:rPr>
          <w:rFonts w:ascii="Arial" w:hAnsi="Arial" w:cs="Arial"/>
          <w:b/>
          <w:bCs/>
          <w:sz w:val="28"/>
          <w:szCs w:val="28"/>
        </w:rPr>
      </w:pPr>
      <w:r>
        <w:rPr>
          <w:rFonts w:ascii="Arial" w:hAnsi="Arial" w:cs="Arial"/>
          <w:b/>
          <w:bCs/>
          <w:sz w:val="24"/>
          <w:szCs w:val="24"/>
        </w:rPr>
        <w:br/>
      </w:r>
      <w:r w:rsidR="00423096">
        <w:rPr>
          <w:rFonts w:ascii="Arial" w:hAnsi="Arial" w:cs="Arial"/>
          <w:b/>
          <w:bCs/>
          <w:sz w:val="28"/>
          <w:szCs w:val="28"/>
        </w:rPr>
        <w:t>NON-</w:t>
      </w:r>
      <w:r w:rsidR="0076728D" w:rsidRPr="00175005">
        <w:rPr>
          <w:rFonts w:ascii="Arial" w:hAnsi="Arial" w:cs="Arial"/>
          <w:b/>
          <w:bCs/>
          <w:sz w:val="28"/>
          <w:szCs w:val="28"/>
        </w:rPr>
        <w:t xml:space="preserve">RESIDENTIAL </w:t>
      </w:r>
      <w:r w:rsidR="00644F25" w:rsidRPr="00175005">
        <w:rPr>
          <w:rFonts w:ascii="Arial" w:hAnsi="Arial" w:cs="Arial"/>
          <w:b/>
          <w:bCs/>
          <w:sz w:val="28"/>
          <w:szCs w:val="28"/>
        </w:rPr>
        <w:t>SUBMITTAL</w:t>
      </w:r>
      <w:r w:rsidRPr="00175005">
        <w:rPr>
          <w:rFonts w:ascii="Arial" w:hAnsi="Arial" w:cs="Arial"/>
          <w:b/>
          <w:bCs/>
          <w:sz w:val="28"/>
          <w:szCs w:val="28"/>
        </w:rPr>
        <w:t xml:space="preserve"> CHECKLIST </w:t>
      </w:r>
    </w:p>
    <w:p w14:paraId="5F138907" w14:textId="75B50C4D" w:rsidR="00673182" w:rsidRDefault="00673182" w:rsidP="00493F25">
      <w:pPr>
        <w:autoSpaceDE w:val="0"/>
        <w:autoSpaceDN w:val="0"/>
        <w:adjustRightInd w:val="0"/>
        <w:spacing w:after="0" w:line="240" w:lineRule="auto"/>
        <w:jc w:val="center"/>
        <w:rPr>
          <w:b/>
        </w:rPr>
      </w:pPr>
      <w:r w:rsidRPr="00175005">
        <w:rPr>
          <w:rFonts w:ascii="Arial" w:hAnsi="Arial" w:cs="Arial"/>
          <w:b/>
          <w:bCs/>
          <w:sz w:val="28"/>
          <w:szCs w:val="28"/>
        </w:rPr>
        <w:t>ELECTRIC VEHICLE CHARGING STATION (EVCS)</w:t>
      </w:r>
      <w:r>
        <w:rPr>
          <w:rFonts w:ascii="Arial" w:hAnsi="Arial" w:cs="Arial"/>
          <w:b/>
          <w:bCs/>
          <w:sz w:val="24"/>
          <w:szCs w:val="24"/>
        </w:rPr>
        <w:br/>
      </w:r>
      <w:r w:rsidR="00623895">
        <w:rPr>
          <w:b/>
        </w:rPr>
        <w:pict w14:anchorId="754D4285">
          <v:rect id="_x0000_i1025" style="width:0;height:1.5pt" o:hralign="center" o:hrstd="t" o:hr="t" fillcolor="gray" stroked="f"/>
        </w:pict>
      </w:r>
    </w:p>
    <w:p w14:paraId="0B7CB0DB" w14:textId="299F1FFB" w:rsidR="00673182" w:rsidRDefault="00673182" w:rsidP="0076728D">
      <w:pPr>
        <w:autoSpaceDE w:val="0"/>
        <w:autoSpaceDN w:val="0"/>
        <w:adjustRightInd w:val="0"/>
        <w:spacing w:after="0" w:line="240" w:lineRule="auto"/>
        <w:jc w:val="center"/>
        <w:rPr>
          <w:rFonts w:ascii="Arial" w:hAnsi="Arial" w:cs="Arial"/>
          <w:b/>
          <w:sz w:val="24"/>
          <w:szCs w:val="24"/>
          <w:u w:val="single"/>
        </w:rPr>
      </w:pPr>
      <w:r w:rsidRPr="00F914BC">
        <w:rPr>
          <w:rFonts w:ascii="Arial" w:hAnsi="Arial" w:cs="Arial"/>
          <w:b/>
          <w:sz w:val="24"/>
          <w:szCs w:val="24"/>
          <w:u w:val="single"/>
        </w:rPr>
        <w:t xml:space="preserve">Submittal Documents </w:t>
      </w:r>
      <w:r w:rsidR="0076728D" w:rsidRPr="00F914BC">
        <w:rPr>
          <w:rFonts w:ascii="Arial" w:hAnsi="Arial" w:cs="Arial"/>
          <w:b/>
          <w:sz w:val="24"/>
          <w:szCs w:val="24"/>
          <w:u w:val="single"/>
        </w:rPr>
        <w:t>R</w:t>
      </w:r>
      <w:r w:rsidRPr="00F914BC">
        <w:rPr>
          <w:rFonts w:ascii="Arial" w:hAnsi="Arial" w:cs="Arial"/>
          <w:b/>
          <w:sz w:val="24"/>
          <w:szCs w:val="24"/>
          <w:u w:val="single"/>
        </w:rPr>
        <w:t>equired*</w:t>
      </w:r>
    </w:p>
    <w:p w14:paraId="0897635D" w14:textId="2745ADE5" w:rsidR="00282726" w:rsidRPr="00282726" w:rsidRDefault="00282726" w:rsidP="00CF60A8">
      <w:pPr>
        <w:autoSpaceDE w:val="0"/>
        <w:autoSpaceDN w:val="0"/>
        <w:adjustRightInd w:val="0"/>
        <w:spacing w:after="0" w:line="240" w:lineRule="auto"/>
        <w:jc w:val="both"/>
        <w:rPr>
          <w:rFonts w:ascii="Arial" w:hAnsi="Arial" w:cs="Arial"/>
          <w:sz w:val="20"/>
          <w:szCs w:val="20"/>
        </w:rPr>
      </w:pPr>
      <w:r w:rsidRPr="00282726">
        <w:rPr>
          <w:rFonts w:ascii="Arial" w:hAnsi="Arial" w:cs="Arial"/>
          <w:sz w:val="20"/>
          <w:szCs w:val="20"/>
        </w:rPr>
        <w:t>Plan</w:t>
      </w:r>
      <w:r>
        <w:rPr>
          <w:rFonts w:ascii="Arial" w:hAnsi="Arial" w:cs="Arial"/>
          <w:sz w:val="20"/>
          <w:szCs w:val="20"/>
        </w:rPr>
        <w:t>s</w:t>
      </w:r>
      <w:r w:rsidRPr="00282726">
        <w:rPr>
          <w:rFonts w:ascii="Arial" w:hAnsi="Arial" w:cs="Arial"/>
          <w:sz w:val="20"/>
          <w:szCs w:val="20"/>
        </w:rPr>
        <w:t xml:space="preserve"> may be submitted </w:t>
      </w:r>
      <w:r>
        <w:rPr>
          <w:rFonts w:ascii="Arial" w:hAnsi="Arial" w:cs="Arial"/>
          <w:sz w:val="20"/>
          <w:szCs w:val="20"/>
        </w:rPr>
        <w:t xml:space="preserve">in-person during counter hours or online at </w:t>
      </w:r>
      <w:hyperlink r:id="rId9" w:history="1">
        <w:r w:rsidRPr="00CE75AD">
          <w:rPr>
            <w:rStyle w:val="Hyperlink"/>
            <w:rFonts w:ascii="Arial" w:hAnsi="Arial" w:cs="Arial"/>
            <w:sz w:val="20"/>
            <w:szCs w:val="20"/>
          </w:rPr>
          <w:t>http://lagunahillsca.gov/eplancheck</w:t>
        </w:r>
      </w:hyperlink>
      <w:r>
        <w:rPr>
          <w:rFonts w:ascii="Arial" w:hAnsi="Arial" w:cs="Arial"/>
          <w:sz w:val="20"/>
          <w:szCs w:val="20"/>
        </w:rPr>
        <w:t xml:space="preserve">.  For more information on electronic plan check submittals please see our Plan Check Submittal Instructions handout that can be found at </w:t>
      </w:r>
      <w:hyperlink r:id="rId10" w:history="1">
        <w:r w:rsidRPr="00CE75AD">
          <w:rPr>
            <w:rStyle w:val="Hyperlink"/>
            <w:rFonts w:ascii="Arial" w:hAnsi="Arial" w:cs="Arial"/>
            <w:sz w:val="20"/>
            <w:szCs w:val="20"/>
          </w:rPr>
          <w:t>http://lagunahillsca.gov/planchecksubmittalinstructions</w:t>
        </w:r>
      </w:hyperlink>
      <w:r>
        <w:rPr>
          <w:rFonts w:ascii="Arial" w:hAnsi="Arial" w:cs="Arial"/>
          <w:sz w:val="20"/>
          <w:szCs w:val="20"/>
        </w:rPr>
        <w:t xml:space="preserve">. </w:t>
      </w:r>
    </w:p>
    <w:p w14:paraId="499976D5" w14:textId="77777777" w:rsidR="00673182" w:rsidRPr="00CF60A8" w:rsidRDefault="00673182" w:rsidP="00673182">
      <w:pPr>
        <w:autoSpaceDE w:val="0"/>
        <w:autoSpaceDN w:val="0"/>
        <w:adjustRightInd w:val="0"/>
        <w:spacing w:after="0" w:line="240" w:lineRule="auto"/>
        <w:rPr>
          <w:rFonts w:ascii="Arial" w:hAnsi="Arial" w:cs="Arial"/>
          <w:sz w:val="12"/>
          <w:szCs w:val="12"/>
        </w:rPr>
      </w:pPr>
    </w:p>
    <w:p w14:paraId="5B2E11A4" w14:textId="4F6F6882" w:rsidR="00673182" w:rsidRPr="00F914BC" w:rsidRDefault="00673182" w:rsidP="00673182">
      <w:pPr>
        <w:pStyle w:val="ListParagraph"/>
        <w:numPr>
          <w:ilvl w:val="0"/>
          <w:numId w:val="1"/>
        </w:numPr>
        <w:autoSpaceDE w:val="0"/>
        <w:autoSpaceDN w:val="0"/>
        <w:adjustRightInd w:val="0"/>
        <w:spacing w:after="0" w:line="240" w:lineRule="auto"/>
        <w:rPr>
          <w:rFonts w:ascii="Arial" w:hAnsi="Arial" w:cs="Arial"/>
          <w:b/>
        </w:rPr>
      </w:pPr>
      <w:r w:rsidRPr="00F914BC">
        <w:rPr>
          <w:rFonts w:ascii="Arial" w:hAnsi="Arial" w:cs="Arial"/>
          <w:b/>
        </w:rPr>
        <w:t xml:space="preserve">Plan Sets </w:t>
      </w:r>
      <w:r w:rsidR="00381F0F" w:rsidRPr="00F914BC">
        <w:rPr>
          <w:rFonts w:ascii="Arial" w:hAnsi="Arial" w:cs="Arial"/>
          <w:b/>
        </w:rPr>
        <w:t>(</w:t>
      </w:r>
      <w:r w:rsidR="00E46302" w:rsidRPr="00F914BC">
        <w:rPr>
          <w:rFonts w:ascii="Arial" w:hAnsi="Arial" w:cs="Arial"/>
          <w:b/>
        </w:rPr>
        <w:t>3 sets, 11” X 17”</w:t>
      </w:r>
      <w:r w:rsidR="00C95A5D">
        <w:rPr>
          <w:rFonts w:ascii="Arial" w:hAnsi="Arial" w:cs="Arial"/>
          <w:b/>
        </w:rPr>
        <w:t xml:space="preserve"> or larger</w:t>
      </w:r>
      <w:r w:rsidRPr="00F914BC">
        <w:rPr>
          <w:rFonts w:ascii="Arial" w:hAnsi="Arial" w:cs="Arial"/>
          <w:b/>
        </w:rPr>
        <w:t>)</w:t>
      </w:r>
    </w:p>
    <w:p w14:paraId="1167AAE8" w14:textId="77777777" w:rsidR="00673182" w:rsidRPr="00F914BC" w:rsidRDefault="00673182" w:rsidP="00673182">
      <w:pPr>
        <w:pStyle w:val="ListParagraph"/>
        <w:numPr>
          <w:ilvl w:val="1"/>
          <w:numId w:val="1"/>
        </w:numPr>
        <w:autoSpaceDE w:val="0"/>
        <w:autoSpaceDN w:val="0"/>
        <w:adjustRightInd w:val="0"/>
        <w:spacing w:after="0" w:line="240" w:lineRule="auto"/>
        <w:rPr>
          <w:rFonts w:ascii="Arial" w:hAnsi="Arial" w:cs="Arial"/>
          <w:b/>
        </w:rPr>
      </w:pPr>
      <w:r w:rsidRPr="00F914BC">
        <w:rPr>
          <w:rFonts w:ascii="Arial" w:hAnsi="Arial" w:cs="Arial"/>
          <w:b/>
        </w:rPr>
        <w:t>Site/Plot Plan</w:t>
      </w:r>
    </w:p>
    <w:p w14:paraId="76CC5E0E" w14:textId="77777777" w:rsidR="00C8637A" w:rsidRPr="00C8637A" w:rsidRDefault="00C8637A" w:rsidP="00CF60A8">
      <w:pPr>
        <w:pStyle w:val="ListParagraph"/>
        <w:numPr>
          <w:ilvl w:val="2"/>
          <w:numId w:val="1"/>
        </w:numPr>
        <w:autoSpaceDE w:val="0"/>
        <w:autoSpaceDN w:val="0"/>
        <w:adjustRightInd w:val="0"/>
        <w:spacing w:after="0" w:line="240" w:lineRule="auto"/>
        <w:jc w:val="both"/>
        <w:rPr>
          <w:rFonts w:ascii="Arial" w:hAnsi="Arial" w:cs="Arial"/>
        </w:rPr>
      </w:pPr>
      <w:bookmarkStart w:id="0" w:name="_GoBack"/>
      <w:bookmarkEnd w:id="0"/>
      <w:r w:rsidRPr="00C8637A">
        <w:rPr>
          <w:rFonts w:ascii="Arial" w:hAnsi="Arial" w:cs="Arial"/>
        </w:rPr>
        <w:t>Show full property extent (property lines, parking areas, structures, etc.).</w:t>
      </w:r>
    </w:p>
    <w:p w14:paraId="194136E6" w14:textId="77777777" w:rsidR="00C8637A" w:rsidRPr="00C8637A" w:rsidRDefault="00C8637A" w:rsidP="00CF60A8">
      <w:pPr>
        <w:pStyle w:val="ListParagraph"/>
        <w:numPr>
          <w:ilvl w:val="2"/>
          <w:numId w:val="1"/>
        </w:numPr>
        <w:autoSpaceDE w:val="0"/>
        <w:autoSpaceDN w:val="0"/>
        <w:adjustRightInd w:val="0"/>
        <w:spacing w:after="0" w:line="240" w:lineRule="auto"/>
        <w:jc w:val="both"/>
        <w:rPr>
          <w:rFonts w:ascii="Arial" w:hAnsi="Arial" w:cs="Arial"/>
        </w:rPr>
      </w:pPr>
      <w:r w:rsidRPr="00C8637A">
        <w:rPr>
          <w:rFonts w:ascii="Arial" w:hAnsi="Arial" w:cs="Arial"/>
        </w:rPr>
        <w:t>List relevant property information, such as existing parking counts and ratios.</w:t>
      </w:r>
    </w:p>
    <w:p w14:paraId="75E3DA1C" w14:textId="77777777" w:rsidR="00C8637A" w:rsidRPr="00C8637A" w:rsidRDefault="00C8637A" w:rsidP="00CF60A8">
      <w:pPr>
        <w:pStyle w:val="ListParagraph"/>
        <w:numPr>
          <w:ilvl w:val="2"/>
          <w:numId w:val="1"/>
        </w:numPr>
        <w:autoSpaceDE w:val="0"/>
        <w:autoSpaceDN w:val="0"/>
        <w:adjustRightInd w:val="0"/>
        <w:spacing w:after="0" w:line="240" w:lineRule="auto"/>
        <w:jc w:val="both"/>
        <w:rPr>
          <w:rFonts w:ascii="Arial" w:hAnsi="Arial" w:cs="Arial"/>
        </w:rPr>
      </w:pPr>
      <w:r w:rsidRPr="00C8637A">
        <w:rPr>
          <w:rFonts w:ascii="Arial" w:hAnsi="Arial" w:cs="Arial"/>
        </w:rPr>
        <w:t>Provide a detailed site plan showing where the charging unit is located within the parking garage or lot, and any necessary accessibility improvements</w:t>
      </w:r>
    </w:p>
    <w:p w14:paraId="41336C18" w14:textId="77777777" w:rsidR="00C8637A" w:rsidRPr="00C8637A" w:rsidRDefault="00C8637A" w:rsidP="00CF60A8">
      <w:pPr>
        <w:pStyle w:val="ListParagraph"/>
        <w:numPr>
          <w:ilvl w:val="2"/>
          <w:numId w:val="1"/>
        </w:numPr>
        <w:autoSpaceDE w:val="0"/>
        <w:autoSpaceDN w:val="0"/>
        <w:adjustRightInd w:val="0"/>
        <w:spacing w:after="0" w:line="240" w:lineRule="auto"/>
        <w:jc w:val="both"/>
        <w:rPr>
          <w:rFonts w:ascii="Arial" w:hAnsi="Arial" w:cs="Arial"/>
          <w:b/>
        </w:rPr>
      </w:pPr>
      <w:r w:rsidRPr="00C8637A">
        <w:rPr>
          <w:rFonts w:ascii="Arial" w:hAnsi="Arial" w:cs="Arial"/>
        </w:rPr>
        <w:t>As required by type of EVCS, installation mounting method, and local jurisdiction requirements provide necessary structural details.</w:t>
      </w:r>
    </w:p>
    <w:p w14:paraId="0E85C9D6" w14:textId="77777777" w:rsidR="00673182" w:rsidRPr="00F914BC" w:rsidRDefault="00673182" w:rsidP="00E46302">
      <w:pPr>
        <w:pStyle w:val="ListParagraph"/>
        <w:numPr>
          <w:ilvl w:val="1"/>
          <w:numId w:val="1"/>
        </w:numPr>
        <w:autoSpaceDE w:val="0"/>
        <w:autoSpaceDN w:val="0"/>
        <w:adjustRightInd w:val="0"/>
        <w:spacing w:after="0" w:line="240" w:lineRule="auto"/>
        <w:jc w:val="both"/>
        <w:rPr>
          <w:rFonts w:ascii="Arial" w:hAnsi="Arial" w:cs="Arial"/>
          <w:b/>
        </w:rPr>
      </w:pPr>
      <w:r w:rsidRPr="00F914BC">
        <w:rPr>
          <w:rFonts w:ascii="Arial" w:hAnsi="Arial" w:cs="Arial"/>
          <w:b/>
        </w:rPr>
        <w:t>Electrical Plan</w:t>
      </w:r>
    </w:p>
    <w:p w14:paraId="3D9CC44D" w14:textId="7E87F206" w:rsidR="00381F0F" w:rsidRPr="00F914BC" w:rsidRDefault="00673182" w:rsidP="00E46302">
      <w:pPr>
        <w:pStyle w:val="ListParagraph"/>
        <w:numPr>
          <w:ilvl w:val="2"/>
          <w:numId w:val="1"/>
        </w:numPr>
        <w:autoSpaceDE w:val="0"/>
        <w:autoSpaceDN w:val="0"/>
        <w:adjustRightInd w:val="0"/>
        <w:spacing w:after="0" w:line="240" w:lineRule="auto"/>
        <w:jc w:val="both"/>
        <w:rPr>
          <w:rFonts w:ascii="Arial" w:eastAsia="Times New Roman" w:hAnsi="Arial" w:cs="Arial"/>
        </w:rPr>
      </w:pPr>
      <w:r w:rsidRPr="00F914BC">
        <w:rPr>
          <w:rFonts w:ascii="Arial" w:eastAsia="Times New Roman" w:hAnsi="Arial" w:cs="Arial"/>
        </w:rPr>
        <w:t xml:space="preserve">Provide a complete electrical single line drawing </w:t>
      </w:r>
      <w:r w:rsidR="00E46302" w:rsidRPr="00F914BC">
        <w:rPr>
          <w:rFonts w:ascii="Arial" w:eastAsia="Times New Roman" w:hAnsi="Arial" w:cs="Arial"/>
        </w:rPr>
        <w:t xml:space="preserve">signed by an Electrical Engineer or a C10 Contractor </w:t>
      </w:r>
      <w:r w:rsidRPr="00F914BC">
        <w:rPr>
          <w:rFonts w:ascii="Arial" w:eastAsia="Times New Roman" w:hAnsi="Arial" w:cs="Arial"/>
        </w:rPr>
        <w:t>showing the main service, sub panels</w:t>
      </w:r>
      <w:r w:rsidR="00381F0F" w:rsidRPr="00F914BC">
        <w:rPr>
          <w:rFonts w:ascii="Arial" w:eastAsia="Times New Roman" w:hAnsi="Arial" w:cs="Arial"/>
        </w:rPr>
        <w:t>,</w:t>
      </w:r>
      <w:r w:rsidR="00E8266C" w:rsidRPr="00F914BC">
        <w:rPr>
          <w:rFonts w:ascii="Arial" w:eastAsia="Times New Roman" w:hAnsi="Arial" w:cs="Arial"/>
        </w:rPr>
        <w:t xml:space="preserve"> </w:t>
      </w:r>
      <w:r w:rsidRPr="00F914BC">
        <w:rPr>
          <w:rFonts w:ascii="Arial" w:eastAsia="Times New Roman" w:hAnsi="Arial" w:cs="Arial"/>
        </w:rPr>
        <w:t xml:space="preserve">and proposed </w:t>
      </w:r>
      <w:r w:rsidR="00381F0F" w:rsidRPr="00F914BC">
        <w:rPr>
          <w:rFonts w:ascii="Arial" w:eastAsia="Times New Roman" w:hAnsi="Arial" w:cs="Arial"/>
        </w:rPr>
        <w:t>EVCS</w:t>
      </w:r>
      <w:r w:rsidR="00EA0F11" w:rsidRPr="00F914BC">
        <w:rPr>
          <w:rFonts w:ascii="Arial" w:eastAsia="Times New Roman" w:hAnsi="Arial" w:cs="Arial"/>
        </w:rPr>
        <w:t>.</w:t>
      </w:r>
    </w:p>
    <w:p w14:paraId="01A2A4C1" w14:textId="2EAC4097" w:rsidR="008F0F85" w:rsidRPr="00F914BC" w:rsidRDefault="00381F0F" w:rsidP="00E46302">
      <w:pPr>
        <w:pStyle w:val="ListParagraph"/>
        <w:numPr>
          <w:ilvl w:val="2"/>
          <w:numId w:val="1"/>
        </w:numPr>
        <w:autoSpaceDE w:val="0"/>
        <w:autoSpaceDN w:val="0"/>
        <w:adjustRightInd w:val="0"/>
        <w:spacing w:after="0" w:line="240" w:lineRule="auto"/>
        <w:jc w:val="both"/>
        <w:rPr>
          <w:rFonts w:ascii="Arial" w:eastAsia="Times New Roman" w:hAnsi="Arial" w:cs="Arial"/>
        </w:rPr>
      </w:pPr>
      <w:r w:rsidRPr="00F914BC">
        <w:rPr>
          <w:rFonts w:ascii="Arial" w:eastAsia="Times New Roman" w:hAnsi="Arial" w:cs="Arial"/>
        </w:rPr>
        <w:t>I</w:t>
      </w:r>
      <w:r w:rsidR="00D86739" w:rsidRPr="00F914BC">
        <w:rPr>
          <w:rFonts w:ascii="Arial" w:eastAsia="Times New Roman" w:hAnsi="Arial" w:cs="Arial"/>
        </w:rPr>
        <w:t xml:space="preserve">nclude </w:t>
      </w:r>
      <w:r w:rsidR="00673182" w:rsidRPr="00F914BC">
        <w:rPr>
          <w:rFonts w:ascii="Arial" w:eastAsia="Times New Roman" w:hAnsi="Arial" w:cs="Arial"/>
        </w:rPr>
        <w:t xml:space="preserve">size of overcurrent protection devices (in amperes) for main service, sub panels, </w:t>
      </w:r>
      <w:r w:rsidRPr="00F914BC">
        <w:rPr>
          <w:rFonts w:ascii="Arial" w:eastAsia="Times New Roman" w:hAnsi="Arial" w:cs="Arial"/>
        </w:rPr>
        <w:t>disconnects and</w:t>
      </w:r>
      <w:r w:rsidR="00673182" w:rsidRPr="00F914BC">
        <w:rPr>
          <w:rFonts w:ascii="Arial" w:eastAsia="Times New Roman" w:hAnsi="Arial" w:cs="Arial"/>
        </w:rPr>
        <w:t xml:space="preserve"> EV</w:t>
      </w:r>
      <w:r w:rsidR="00440139" w:rsidRPr="00F914BC">
        <w:rPr>
          <w:rFonts w:ascii="Arial" w:eastAsia="Times New Roman" w:hAnsi="Arial" w:cs="Arial"/>
        </w:rPr>
        <w:t>CS</w:t>
      </w:r>
      <w:r w:rsidR="008F0F85" w:rsidRPr="00F914BC">
        <w:rPr>
          <w:rFonts w:ascii="Arial" w:eastAsia="Times New Roman" w:hAnsi="Arial" w:cs="Arial"/>
        </w:rPr>
        <w:t xml:space="preserve"> circuit supply</w:t>
      </w:r>
      <w:r w:rsidR="00EA0F11" w:rsidRPr="00F914BC">
        <w:rPr>
          <w:rFonts w:ascii="Arial" w:eastAsia="Times New Roman" w:hAnsi="Arial" w:cs="Arial"/>
        </w:rPr>
        <w:t>.</w:t>
      </w:r>
    </w:p>
    <w:p w14:paraId="4223823C" w14:textId="7B2A670C" w:rsidR="00673182" w:rsidRPr="00F914BC" w:rsidRDefault="00EA0F11" w:rsidP="00E46302">
      <w:pPr>
        <w:pStyle w:val="ListParagraph"/>
        <w:numPr>
          <w:ilvl w:val="2"/>
          <w:numId w:val="1"/>
        </w:numPr>
        <w:autoSpaceDE w:val="0"/>
        <w:autoSpaceDN w:val="0"/>
        <w:adjustRightInd w:val="0"/>
        <w:spacing w:after="0" w:line="240" w:lineRule="auto"/>
        <w:jc w:val="both"/>
        <w:rPr>
          <w:rFonts w:ascii="Arial" w:eastAsia="Times New Roman" w:hAnsi="Arial" w:cs="Arial"/>
        </w:rPr>
      </w:pPr>
      <w:r w:rsidRPr="00F914BC">
        <w:rPr>
          <w:rFonts w:ascii="Arial" w:eastAsia="Times New Roman" w:hAnsi="Arial" w:cs="Arial"/>
        </w:rPr>
        <w:t>S</w:t>
      </w:r>
      <w:r w:rsidR="00673182" w:rsidRPr="00F914BC">
        <w:rPr>
          <w:rFonts w:ascii="Arial" w:eastAsia="Times New Roman" w:hAnsi="Arial" w:cs="Arial"/>
        </w:rPr>
        <w:t>how conduit sizes and types, and conductor sizes and types.</w:t>
      </w:r>
    </w:p>
    <w:p w14:paraId="6747FD7A" w14:textId="59B155B2" w:rsidR="00566B82" w:rsidRPr="00F64499" w:rsidRDefault="00C8637A" w:rsidP="00E46302">
      <w:pPr>
        <w:pStyle w:val="ListParagraph"/>
        <w:numPr>
          <w:ilvl w:val="2"/>
          <w:numId w:val="1"/>
        </w:numPr>
        <w:autoSpaceDE w:val="0"/>
        <w:autoSpaceDN w:val="0"/>
        <w:adjustRightInd w:val="0"/>
        <w:spacing w:after="0" w:line="240" w:lineRule="auto"/>
        <w:jc w:val="both"/>
        <w:rPr>
          <w:rFonts w:ascii="Arial" w:hAnsi="Arial" w:cs="Arial"/>
          <w:b/>
        </w:rPr>
      </w:pPr>
      <w:r w:rsidRPr="00F64499">
        <w:rPr>
          <w:rFonts w:ascii="Arial" w:eastAsia="Times New Roman" w:hAnsi="Arial" w:cs="Arial"/>
        </w:rPr>
        <w:t>Provide a trenching detail and call out trench work in the scope of work on the plan if trenching is required. Trenching may result in a structural plan review if conduit trenches undermine foundations</w:t>
      </w:r>
      <w:r w:rsidR="00673182" w:rsidRPr="00F64499">
        <w:rPr>
          <w:rFonts w:ascii="Arial" w:eastAsia="Times New Roman" w:hAnsi="Arial" w:cs="Arial"/>
        </w:rPr>
        <w:t>.</w:t>
      </w:r>
    </w:p>
    <w:p w14:paraId="4FD42EAD" w14:textId="77777777" w:rsidR="00A520E5" w:rsidRPr="00F914BC" w:rsidRDefault="00566B82" w:rsidP="00E46302">
      <w:pPr>
        <w:pStyle w:val="ListParagraph"/>
        <w:numPr>
          <w:ilvl w:val="2"/>
          <w:numId w:val="1"/>
        </w:numPr>
        <w:autoSpaceDE w:val="0"/>
        <w:autoSpaceDN w:val="0"/>
        <w:adjustRightInd w:val="0"/>
        <w:spacing w:after="0" w:line="240" w:lineRule="auto"/>
        <w:jc w:val="both"/>
        <w:rPr>
          <w:rFonts w:ascii="Arial" w:hAnsi="Arial" w:cs="Arial"/>
          <w:b/>
        </w:rPr>
      </w:pPr>
      <w:r w:rsidRPr="00F914BC">
        <w:rPr>
          <w:rFonts w:ascii="Arial" w:hAnsi="Arial" w:cs="Arial"/>
        </w:rPr>
        <w:t>Note electrical feeder requirements when trenching structure to structure (CEC 225). The feeder from structure to structure should be noted in the scope of work. Verify that trenching is in compliance of minimum cover requirements for wiring methods or circuits (18” for direct burial per CEC 300).</w:t>
      </w:r>
    </w:p>
    <w:p w14:paraId="1A0F7845" w14:textId="743265CC" w:rsidR="00A520E5" w:rsidRPr="00F914BC" w:rsidRDefault="00E65C70" w:rsidP="00E46302">
      <w:pPr>
        <w:pStyle w:val="ListParagraph"/>
        <w:numPr>
          <w:ilvl w:val="2"/>
          <w:numId w:val="1"/>
        </w:numPr>
        <w:autoSpaceDE w:val="0"/>
        <w:autoSpaceDN w:val="0"/>
        <w:adjustRightInd w:val="0"/>
        <w:spacing w:after="0" w:line="240" w:lineRule="auto"/>
        <w:jc w:val="both"/>
        <w:rPr>
          <w:b/>
        </w:rPr>
      </w:pPr>
      <w:r w:rsidRPr="00F914BC">
        <w:rPr>
          <w:rFonts w:ascii="Arial" w:eastAsia="Times New Roman" w:hAnsi="Arial" w:cs="Arial"/>
        </w:rPr>
        <w:t>Provide EVCS</w:t>
      </w:r>
      <w:r w:rsidR="00673182" w:rsidRPr="00F914BC">
        <w:rPr>
          <w:rFonts w:ascii="Arial" w:eastAsia="Times New Roman" w:hAnsi="Arial" w:cs="Arial"/>
        </w:rPr>
        <w:t xml:space="preserve"> manufacturer's specification sheets showing </w:t>
      </w:r>
      <w:r w:rsidR="00A520E5" w:rsidRPr="00F914BC">
        <w:rPr>
          <w:rFonts w:ascii="Arial" w:eastAsia="Times New Roman" w:hAnsi="Arial" w:cs="Arial"/>
        </w:rPr>
        <w:t>Nationally Recognized Testing Laboratory (NRTL) approved listing mark for indoor or outdoor (UL 2202/UL 2200).</w:t>
      </w:r>
    </w:p>
    <w:p w14:paraId="5E85A53D" w14:textId="77777777" w:rsidR="00673182" w:rsidRPr="00F914BC" w:rsidRDefault="00673182" w:rsidP="00E46302">
      <w:pPr>
        <w:pStyle w:val="ListParagraph"/>
        <w:numPr>
          <w:ilvl w:val="0"/>
          <w:numId w:val="1"/>
        </w:numPr>
        <w:autoSpaceDE w:val="0"/>
        <w:autoSpaceDN w:val="0"/>
        <w:adjustRightInd w:val="0"/>
        <w:spacing w:after="0" w:line="240" w:lineRule="auto"/>
        <w:jc w:val="both"/>
        <w:rPr>
          <w:rFonts w:ascii="Arial" w:hAnsi="Arial" w:cs="Arial"/>
          <w:b/>
        </w:rPr>
      </w:pPr>
      <w:r w:rsidRPr="00F914BC">
        <w:rPr>
          <w:rFonts w:ascii="Arial" w:hAnsi="Arial" w:cs="Arial"/>
          <w:b/>
        </w:rPr>
        <w:t>Electrical Load Calculation Worksheet</w:t>
      </w:r>
    </w:p>
    <w:p w14:paraId="4820FB83" w14:textId="59A52918" w:rsidR="00673182" w:rsidRPr="00F914BC" w:rsidRDefault="00673182" w:rsidP="00E46302">
      <w:pPr>
        <w:pStyle w:val="ListParagraph"/>
        <w:numPr>
          <w:ilvl w:val="1"/>
          <w:numId w:val="1"/>
        </w:numPr>
        <w:autoSpaceDE w:val="0"/>
        <w:autoSpaceDN w:val="0"/>
        <w:adjustRightInd w:val="0"/>
        <w:spacing w:after="0" w:line="240" w:lineRule="auto"/>
        <w:jc w:val="both"/>
        <w:rPr>
          <w:rFonts w:ascii="Arial" w:hAnsi="Arial" w:cs="Arial"/>
        </w:rPr>
      </w:pPr>
      <w:r w:rsidRPr="00F914BC">
        <w:rPr>
          <w:rFonts w:ascii="Arial" w:hAnsi="Arial" w:cs="Arial"/>
        </w:rPr>
        <w:t>Include existing and proposed load to estimate if existing electrical service will handle the new load from EVCS and wiring methods. Note: Unless electrical service equipment is 100% rated, the calculated load demand on the main service shall not exceed 80% of the nameplate rating of the main service over-current protection device (OCPD).</w:t>
      </w:r>
      <w:r w:rsidR="00F232B6" w:rsidRPr="00F914BC">
        <w:rPr>
          <w:rFonts w:ascii="Arial" w:hAnsi="Arial" w:cs="Arial"/>
        </w:rPr>
        <w:t xml:space="preserve"> (CEC 625.40)</w:t>
      </w:r>
      <w:r w:rsidR="00AD3678" w:rsidRPr="00F914BC">
        <w:rPr>
          <w:rFonts w:ascii="Arial" w:hAnsi="Arial" w:cs="Arial"/>
        </w:rPr>
        <w:t xml:space="preserve"> Provide a panel schedule for existing panels.</w:t>
      </w:r>
    </w:p>
    <w:p w14:paraId="345DAF13" w14:textId="22A024D7" w:rsidR="00673182" w:rsidRDefault="00673182" w:rsidP="00423096">
      <w:pPr>
        <w:autoSpaceDE w:val="0"/>
        <w:autoSpaceDN w:val="0"/>
        <w:adjustRightInd w:val="0"/>
        <w:spacing w:after="0" w:line="240" w:lineRule="auto"/>
        <w:jc w:val="both"/>
        <w:rPr>
          <w:rFonts w:ascii="Arial" w:hAnsi="Arial" w:cs="Arial"/>
          <w:b/>
          <w:sz w:val="20"/>
          <w:szCs w:val="20"/>
        </w:rPr>
      </w:pPr>
      <w:r w:rsidRPr="00F914BC">
        <w:rPr>
          <w:rFonts w:ascii="Arial" w:hAnsi="Arial" w:cs="Arial"/>
          <w:b/>
          <w:sz w:val="20"/>
          <w:szCs w:val="20"/>
        </w:rPr>
        <w:t xml:space="preserve">*All plans and documents listed above must be provided for </w:t>
      </w:r>
      <w:r w:rsidR="00423096">
        <w:rPr>
          <w:rFonts w:ascii="Arial" w:hAnsi="Arial" w:cs="Arial"/>
          <w:b/>
          <w:sz w:val="20"/>
          <w:szCs w:val="20"/>
        </w:rPr>
        <w:t>non-</w:t>
      </w:r>
      <w:r w:rsidRPr="00F914BC">
        <w:rPr>
          <w:rFonts w:ascii="Arial" w:hAnsi="Arial" w:cs="Arial"/>
          <w:b/>
          <w:sz w:val="20"/>
          <w:szCs w:val="20"/>
        </w:rPr>
        <w:t xml:space="preserve">residential </w:t>
      </w:r>
      <w:r w:rsidR="00BB3FA0" w:rsidRPr="00F914BC">
        <w:rPr>
          <w:rFonts w:ascii="Arial" w:hAnsi="Arial" w:cs="Arial"/>
          <w:b/>
          <w:sz w:val="20"/>
          <w:szCs w:val="20"/>
        </w:rPr>
        <w:t>EVCS</w:t>
      </w:r>
      <w:r w:rsidRPr="00F914BC">
        <w:rPr>
          <w:rFonts w:ascii="Arial" w:hAnsi="Arial" w:cs="Arial"/>
          <w:b/>
          <w:sz w:val="20"/>
          <w:szCs w:val="20"/>
        </w:rPr>
        <w:t xml:space="preserve"> at time of permit submittal </w:t>
      </w:r>
      <w:r w:rsidR="00864A08">
        <w:rPr>
          <w:rFonts w:ascii="Arial" w:hAnsi="Arial" w:cs="Arial"/>
          <w:b/>
          <w:sz w:val="20"/>
          <w:szCs w:val="20"/>
        </w:rPr>
        <w:t xml:space="preserve">for plan check </w:t>
      </w:r>
      <w:r w:rsidRPr="00F914BC">
        <w:rPr>
          <w:rFonts w:ascii="Arial" w:hAnsi="Arial" w:cs="Arial"/>
          <w:b/>
          <w:sz w:val="20"/>
          <w:szCs w:val="20"/>
        </w:rPr>
        <w:t>prior to issuance.</w:t>
      </w:r>
      <w:r w:rsidR="00493F25">
        <w:rPr>
          <w:rFonts w:ascii="Arial" w:hAnsi="Arial" w:cs="Arial"/>
          <w:b/>
          <w:sz w:val="20"/>
          <w:szCs w:val="20"/>
        </w:rPr>
        <w:t xml:space="preserve"> Plans will be subject to an hourly plan check charge</w:t>
      </w:r>
      <w:r w:rsidR="00282726">
        <w:rPr>
          <w:rFonts w:ascii="Arial" w:hAnsi="Arial" w:cs="Arial"/>
          <w:b/>
          <w:sz w:val="20"/>
          <w:szCs w:val="20"/>
        </w:rPr>
        <w:t xml:space="preserve"> in addition to the permit fees</w:t>
      </w:r>
      <w:r w:rsidR="00493F25">
        <w:rPr>
          <w:rFonts w:ascii="Arial" w:hAnsi="Arial" w:cs="Arial"/>
          <w:b/>
          <w:sz w:val="20"/>
          <w:szCs w:val="20"/>
        </w:rPr>
        <w:t>.</w:t>
      </w:r>
    </w:p>
    <w:p w14:paraId="5F5445D5" w14:textId="77777777" w:rsidR="00493F25" w:rsidRPr="00493F25" w:rsidRDefault="00493F25" w:rsidP="00423096">
      <w:pPr>
        <w:autoSpaceDE w:val="0"/>
        <w:autoSpaceDN w:val="0"/>
        <w:adjustRightInd w:val="0"/>
        <w:spacing w:after="0" w:line="240" w:lineRule="auto"/>
        <w:jc w:val="both"/>
        <w:rPr>
          <w:rFonts w:ascii="Arial" w:hAnsi="Arial" w:cs="Arial"/>
          <w:b/>
          <w:sz w:val="16"/>
          <w:szCs w:val="16"/>
        </w:rPr>
      </w:pPr>
    </w:p>
    <w:p w14:paraId="32B84EE3" w14:textId="53ECC98F" w:rsidR="00F914BC" w:rsidRPr="00F914BC" w:rsidRDefault="00F914BC" w:rsidP="00F914BC">
      <w:pPr>
        <w:autoSpaceDE w:val="0"/>
        <w:autoSpaceDN w:val="0"/>
        <w:adjustRightInd w:val="0"/>
        <w:spacing w:after="0" w:line="240" w:lineRule="auto"/>
        <w:jc w:val="center"/>
        <w:rPr>
          <w:rFonts w:ascii="Arial" w:hAnsi="Arial" w:cs="Arial"/>
          <w:b/>
          <w:sz w:val="24"/>
          <w:szCs w:val="24"/>
          <w:u w:val="single"/>
        </w:rPr>
      </w:pPr>
      <w:r w:rsidRPr="00F914BC">
        <w:rPr>
          <w:rFonts w:ascii="Arial" w:hAnsi="Arial" w:cs="Arial"/>
          <w:b/>
          <w:sz w:val="24"/>
          <w:szCs w:val="24"/>
          <w:u w:val="single"/>
        </w:rPr>
        <w:t>Inspections Required</w:t>
      </w:r>
    </w:p>
    <w:p w14:paraId="1EE99151" w14:textId="1D18F4AC" w:rsidR="00F914BC" w:rsidRPr="00F914BC" w:rsidRDefault="00F914BC" w:rsidP="003B072A">
      <w:pPr>
        <w:pStyle w:val="ListParagraph"/>
        <w:autoSpaceDE w:val="0"/>
        <w:autoSpaceDN w:val="0"/>
        <w:adjustRightInd w:val="0"/>
        <w:spacing w:after="0" w:line="240" w:lineRule="auto"/>
        <w:ind w:left="1080"/>
        <w:rPr>
          <w:rFonts w:ascii="Arial" w:hAnsi="Arial" w:cs="Arial"/>
          <w:b/>
        </w:rPr>
      </w:pPr>
      <w:r>
        <w:rPr>
          <w:rFonts w:ascii="Arial" w:hAnsi="Arial" w:cs="Arial"/>
          <w:b/>
        </w:rPr>
        <w:t xml:space="preserve">Final Inspection </w:t>
      </w:r>
      <w:r w:rsidRPr="00F914BC">
        <w:rPr>
          <w:rFonts w:ascii="Arial" w:hAnsi="Arial" w:cs="Arial"/>
        </w:rPr>
        <w:t>is required when system is complete and operative</w:t>
      </w:r>
    </w:p>
    <w:p w14:paraId="616F2C58" w14:textId="77777777" w:rsidR="00F914BC" w:rsidRPr="00F914BC" w:rsidRDefault="00F914BC" w:rsidP="00F914BC">
      <w:pPr>
        <w:autoSpaceDE w:val="0"/>
        <w:autoSpaceDN w:val="0"/>
        <w:adjustRightInd w:val="0"/>
        <w:spacing w:after="0" w:line="240" w:lineRule="auto"/>
        <w:ind w:left="720"/>
        <w:rPr>
          <w:rFonts w:ascii="Arial" w:hAnsi="Arial" w:cs="Arial"/>
          <w:b/>
          <w:sz w:val="16"/>
          <w:szCs w:val="16"/>
        </w:rPr>
      </w:pPr>
    </w:p>
    <w:p w14:paraId="077AAE2E" w14:textId="41269CA2" w:rsidR="00F914BC" w:rsidRDefault="00F914BC" w:rsidP="00F914BC">
      <w:pPr>
        <w:pBdr>
          <w:bottom w:val="single" w:sz="4" w:space="0" w:color="auto"/>
        </w:pBdr>
        <w:autoSpaceDE w:val="0"/>
        <w:autoSpaceDN w:val="0"/>
        <w:adjustRightInd w:val="0"/>
        <w:spacing w:after="0" w:line="240" w:lineRule="auto"/>
        <w:jc w:val="center"/>
        <w:rPr>
          <w:rFonts w:ascii="Arial" w:hAnsi="Arial" w:cs="Arial"/>
          <w:b/>
          <w:sz w:val="24"/>
          <w:szCs w:val="24"/>
          <w:u w:val="single"/>
        </w:rPr>
      </w:pPr>
      <w:r w:rsidRPr="00F914BC">
        <w:rPr>
          <w:rFonts w:ascii="Arial" w:hAnsi="Arial" w:cs="Arial"/>
          <w:b/>
          <w:sz w:val="24"/>
          <w:szCs w:val="24"/>
          <w:u w:val="single"/>
        </w:rPr>
        <w:t>Permit Fees</w:t>
      </w:r>
    </w:p>
    <w:p w14:paraId="7D03C11F" w14:textId="135CFE89" w:rsidR="00F914BC" w:rsidRPr="00F914BC" w:rsidRDefault="00F914BC" w:rsidP="00F914BC">
      <w:pPr>
        <w:pBdr>
          <w:bottom w:val="single" w:sz="4" w:space="0" w:color="auto"/>
        </w:pBdr>
        <w:tabs>
          <w:tab w:val="left" w:pos="1440"/>
        </w:tabs>
        <w:autoSpaceDE w:val="0"/>
        <w:autoSpaceDN w:val="0"/>
        <w:adjustRightInd w:val="0"/>
        <w:spacing w:after="0" w:line="240" w:lineRule="auto"/>
        <w:rPr>
          <w:rFonts w:ascii="Arial" w:hAnsi="Arial" w:cs="Arial"/>
        </w:rPr>
      </w:pPr>
      <w:r>
        <w:rPr>
          <w:rFonts w:ascii="Arial" w:hAnsi="Arial" w:cs="Arial"/>
        </w:rPr>
        <w:tab/>
      </w:r>
      <w:r>
        <w:rPr>
          <w:rFonts w:ascii="Arial" w:hAnsi="Arial" w:cs="Arial"/>
          <w:b/>
        </w:rPr>
        <w:t>EV Charging Outlet</w:t>
      </w:r>
      <w:r>
        <w:rPr>
          <w:rFonts w:ascii="Arial" w:hAnsi="Arial" w:cs="Arial"/>
          <w:b/>
        </w:rPr>
        <w:tab/>
      </w:r>
      <w:r>
        <w:rPr>
          <w:rFonts w:ascii="Arial" w:hAnsi="Arial" w:cs="Arial"/>
          <w:b/>
        </w:rPr>
        <w:tab/>
      </w:r>
      <w:r w:rsidRPr="00F914BC">
        <w:rPr>
          <w:rFonts w:ascii="Arial" w:hAnsi="Arial" w:cs="Arial"/>
        </w:rPr>
        <w:t>$17.46</w:t>
      </w:r>
      <w:r>
        <w:rPr>
          <w:rFonts w:ascii="Arial" w:hAnsi="Arial" w:cs="Arial"/>
        </w:rPr>
        <w:t xml:space="preserve"> per outlet</w:t>
      </w:r>
    </w:p>
    <w:p w14:paraId="080CBF15" w14:textId="6F6932FA" w:rsidR="00F914BC" w:rsidRPr="00F914BC" w:rsidRDefault="00F914BC" w:rsidP="00F914BC">
      <w:pPr>
        <w:pBdr>
          <w:bottom w:val="single" w:sz="4" w:space="0" w:color="auto"/>
        </w:pBdr>
        <w:tabs>
          <w:tab w:val="left" w:pos="1440"/>
        </w:tabs>
        <w:autoSpaceDE w:val="0"/>
        <w:autoSpaceDN w:val="0"/>
        <w:adjustRightInd w:val="0"/>
        <w:spacing w:after="0" w:line="240" w:lineRule="auto"/>
        <w:rPr>
          <w:rFonts w:ascii="Arial" w:hAnsi="Arial" w:cs="Arial"/>
        </w:rPr>
      </w:pPr>
      <w:r>
        <w:rPr>
          <w:rFonts w:ascii="Arial" w:hAnsi="Arial" w:cs="Arial"/>
          <w:b/>
        </w:rPr>
        <w:tab/>
        <w:t>Permit Issuance</w:t>
      </w:r>
      <w:r>
        <w:rPr>
          <w:rFonts w:ascii="Arial" w:hAnsi="Arial" w:cs="Arial"/>
          <w:b/>
        </w:rPr>
        <w:tab/>
      </w:r>
      <w:r>
        <w:rPr>
          <w:rFonts w:ascii="Arial" w:hAnsi="Arial" w:cs="Arial"/>
          <w:b/>
        </w:rPr>
        <w:tab/>
      </w:r>
      <w:r w:rsidRPr="00F914BC">
        <w:rPr>
          <w:rFonts w:ascii="Arial" w:hAnsi="Arial" w:cs="Arial"/>
        </w:rPr>
        <w:t>$82.16</w:t>
      </w:r>
    </w:p>
    <w:p w14:paraId="72ABF309" w14:textId="31D598A2" w:rsidR="00F914BC" w:rsidRPr="00F914BC" w:rsidRDefault="00F914BC" w:rsidP="00F914BC">
      <w:pPr>
        <w:pBdr>
          <w:bottom w:val="single" w:sz="4" w:space="0" w:color="auto"/>
        </w:pBdr>
        <w:tabs>
          <w:tab w:val="left" w:pos="1440"/>
        </w:tabs>
        <w:autoSpaceDE w:val="0"/>
        <w:autoSpaceDN w:val="0"/>
        <w:adjustRightInd w:val="0"/>
        <w:spacing w:after="0" w:line="240" w:lineRule="auto"/>
        <w:rPr>
          <w:rFonts w:ascii="Arial" w:hAnsi="Arial" w:cs="Arial"/>
        </w:rPr>
      </w:pPr>
      <w:r>
        <w:rPr>
          <w:rFonts w:ascii="Arial" w:hAnsi="Arial" w:cs="Arial"/>
          <w:b/>
        </w:rPr>
        <w:tab/>
        <w:t>Record Retention</w:t>
      </w:r>
      <w:r>
        <w:rPr>
          <w:rFonts w:ascii="Arial" w:hAnsi="Arial" w:cs="Arial"/>
          <w:b/>
        </w:rPr>
        <w:tab/>
      </w:r>
      <w:r>
        <w:rPr>
          <w:rFonts w:ascii="Arial" w:hAnsi="Arial" w:cs="Arial"/>
          <w:b/>
        </w:rPr>
        <w:tab/>
      </w:r>
      <w:r w:rsidRPr="00F914BC">
        <w:rPr>
          <w:rFonts w:ascii="Arial" w:hAnsi="Arial" w:cs="Arial"/>
        </w:rPr>
        <w:t>$2.05/page 11”x17” or smaller ($3.08/page larger than 11”x17”)</w:t>
      </w:r>
    </w:p>
    <w:p w14:paraId="180EC40B" w14:textId="6A4D4369" w:rsidR="00F914BC" w:rsidRPr="00F914BC" w:rsidRDefault="00F914BC" w:rsidP="00F914BC">
      <w:pPr>
        <w:pBdr>
          <w:bottom w:val="single" w:sz="4" w:space="0" w:color="auto"/>
        </w:pBdr>
        <w:tabs>
          <w:tab w:val="left" w:pos="1440"/>
        </w:tabs>
        <w:autoSpaceDE w:val="0"/>
        <w:autoSpaceDN w:val="0"/>
        <w:adjustRightInd w:val="0"/>
        <w:spacing w:after="0" w:line="240" w:lineRule="auto"/>
        <w:rPr>
          <w:rFonts w:ascii="Arial" w:hAnsi="Arial" w:cs="Arial"/>
        </w:rPr>
      </w:pPr>
      <w:r>
        <w:rPr>
          <w:rFonts w:ascii="Arial" w:hAnsi="Arial" w:cs="Arial"/>
          <w:b/>
        </w:rPr>
        <w:tab/>
        <w:t>State Title 24 fee</w:t>
      </w:r>
      <w:r>
        <w:rPr>
          <w:rFonts w:ascii="Arial" w:hAnsi="Arial" w:cs="Arial"/>
          <w:b/>
        </w:rPr>
        <w:tab/>
      </w:r>
      <w:r>
        <w:rPr>
          <w:rFonts w:ascii="Arial" w:hAnsi="Arial" w:cs="Arial"/>
          <w:b/>
        </w:rPr>
        <w:tab/>
      </w:r>
      <w:r w:rsidRPr="00F914BC">
        <w:rPr>
          <w:rFonts w:ascii="Arial" w:hAnsi="Arial" w:cs="Arial"/>
        </w:rPr>
        <w:t>$1.00 per $25,000 of project valuation</w:t>
      </w:r>
    </w:p>
    <w:p w14:paraId="02D4C2C8" w14:textId="311FF4B4" w:rsidR="00F914BC" w:rsidRPr="00F914BC" w:rsidRDefault="00F914BC" w:rsidP="00F914BC">
      <w:pPr>
        <w:pBdr>
          <w:bottom w:val="single" w:sz="4" w:space="0" w:color="auto"/>
        </w:pBdr>
        <w:tabs>
          <w:tab w:val="left" w:pos="1440"/>
        </w:tabs>
        <w:autoSpaceDE w:val="0"/>
        <w:autoSpaceDN w:val="0"/>
        <w:adjustRightInd w:val="0"/>
        <w:spacing w:after="0" w:line="240" w:lineRule="auto"/>
        <w:rPr>
          <w:rFonts w:ascii="Arial" w:hAnsi="Arial" w:cs="Arial"/>
        </w:rPr>
      </w:pPr>
      <w:r>
        <w:rPr>
          <w:rFonts w:ascii="Arial" w:hAnsi="Arial" w:cs="Arial"/>
          <w:b/>
        </w:rPr>
        <w:tab/>
        <w:t>State CASp fee</w:t>
      </w:r>
      <w:r>
        <w:rPr>
          <w:rFonts w:ascii="Arial" w:hAnsi="Arial" w:cs="Arial"/>
          <w:b/>
        </w:rPr>
        <w:tab/>
      </w:r>
      <w:r>
        <w:rPr>
          <w:rFonts w:ascii="Arial" w:hAnsi="Arial" w:cs="Arial"/>
          <w:b/>
        </w:rPr>
        <w:tab/>
      </w:r>
      <w:r w:rsidRPr="00F914BC">
        <w:rPr>
          <w:rFonts w:ascii="Arial" w:hAnsi="Arial" w:cs="Arial"/>
        </w:rPr>
        <w:t>$4.00</w:t>
      </w:r>
    </w:p>
    <w:p w14:paraId="3D7B6035" w14:textId="77777777" w:rsidR="00F914BC" w:rsidRPr="00493F25" w:rsidRDefault="00F914BC" w:rsidP="00F914BC">
      <w:pPr>
        <w:pBdr>
          <w:bottom w:val="single" w:sz="4" w:space="0" w:color="auto"/>
        </w:pBdr>
        <w:autoSpaceDE w:val="0"/>
        <w:autoSpaceDN w:val="0"/>
        <w:adjustRightInd w:val="0"/>
        <w:spacing w:after="0" w:line="240" w:lineRule="auto"/>
        <w:rPr>
          <w:rFonts w:ascii="Arial" w:hAnsi="Arial" w:cs="Arial"/>
          <w:sz w:val="12"/>
          <w:szCs w:val="12"/>
        </w:rPr>
      </w:pPr>
    </w:p>
    <w:p w14:paraId="0D9E3A82" w14:textId="77777777" w:rsidR="0076728D" w:rsidRPr="0076728D" w:rsidRDefault="0076728D" w:rsidP="0076728D">
      <w:pPr>
        <w:autoSpaceDE w:val="0"/>
        <w:autoSpaceDN w:val="0"/>
        <w:adjustRightInd w:val="0"/>
        <w:spacing w:after="0" w:line="240" w:lineRule="auto"/>
        <w:rPr>
          <w:rFonts w:ascii="Arial" w:hAnsi="Arial" w:cs="Arial"/>
          <w:sz w:val="20"/>
          <w:szCs w:val="20"/>
        </w:rPr>
      </w:pPr>
      <w:r w:rsidRPr="0076728D">
        <w:rPr>
          <w:rFonts w:ascii="Arial" w:hAnsi="Arial" w:cs="Arial"/>
          <w:sz w:val="20"/>
          <w:szCs w:val="20"/>
        </w:rPr>
        <w:t xml:space="preserve">Installations must be completed by a licensed electrical contractor (C-10). (Local Regulations, California Electrical Code CEC Article 625) Plans must show conformance with the California Electrical Code Title 24, Part 3, the California Building Code (Volume 1 and 2), Title 24, Part 2, and other applicable local municipal codes. </w:t>
      </w:r>
    </w:p>
    <w:sectPr w:rsidR="0076728D" w:rsidRPr="0076728D" w:rsidSect="008F143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973A5" w14:textId="77777777" w:rsidR="001D6C27" w:rsidRDefault="001D6C27" w:rsidP="00673182">
      <w:pPr>
        <w:spacing w:after="0" w:line="240" w:lineRule="auto"/>
      </w:pPr>
      <w:r>
        <w:separator/>
      </w:r>
    </w:p>
  </w:endnote>
  <w:endnote w:type="continuationSeparator" w:id="0">
    <w:p w14:paraId="1D444DA9" w14:textId="77777777" w:rsidR="001D6C27" w:rsidRDefault="001D6C27" w:rsidP="0067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C78E8" w14:textId="77777777" w:rsidR="001D6C27" w:rsidRDefault="001D6C27" w:rsidP="00673182">
      <w:pPr>
        <w:spacing w:after="0" w:line="240" w:lineRule="auto"/>
      </w:pPr>
      <w:r>
        <w:separator/>
      </w:r>
    </w:p>
  </w:footnote>
  <w:footnote w:type="continuationSeparator" w:id="0">
    <w:p w14:paraId="46BB49D0" w14:textId="77777777" w:rsidR="001D6C27" w:rsidRDefault="001D6C27" w:rsidP="00673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014D"/>
    <w:multiLevelType w:val="hybridMultilevel"/>
    <w:tmpl w:val="FC46C880"/>
    <w:lvl w:ilvl="0" w:tplc="37D0B6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3B16EF"/>
    <w:multiLevelType w:val="hybridMultilevel"/>
    <w:tmpl w:val="4B767C2A"/>
    <w:lvl w:ilvl="0" w:tplc="D26C1156">
      <w:start w:val="1"/>
      <w:numFmt w:val="bullet"/>
      <w:lvlText w:val=""/>
      <w:lvlJc w:val="left"/>
      <w:pPr>
        <w:ind w:left="1080" w:hanging="360"/>
      </w:pPr>
      <w:rPr>
        <w:rFonts w:ascii="Symbol" w:hAnsi="Symbol" w:hint="default"/>
      </w:rPr>
    </w:lvl>
    <w:lvl w:ilvl="1" w:tplc="EF7CFD7A">
      <w:start w:val="1"/>
      <w:numFmt w:val="lowerLetter"/>
      <w:lvlText w:val="%2."/>
      <w:lvlJc w:val="left"/>
      <w:pPr>
        <w:ind w:left="1800" w:hanging="360"/>
      </w:pPr>
      <w:rPr>
        <w:rFonts w:ascii="Arial" w:hAnsi="Arial" w:cs="Arial" w:hint="default"/>
        <w:b w:val="0"/>
        <w:sz w:val="22"/>
        <w:szCs w:val="22"/>
      </w:rPr>
    </w:lvl>
    <w:lvl w:ilvl="2" w:tplc="F0C67AC4">
      <w:start w:val="1"/>
      <w:numFmt w:val="lowerRoman"/>
      <w:lvlText w:val="%3."/>
      <w:lvlJc w:val="right"/>
      <w:pPr>
        <w:ind w:left="2160" w:hanging="180"/>
      </w:pPr>
      <w:rPr>
        <w:b w:val="0"/>
        <w:strike w:val="0"/>
        <w:sz w:val="22"/>
        <w:szCs w:val="22"/>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74461"/>
    <w:multiLevelType w:val="hybridMultilevel"/>
    <w:tmpl w:val="414C5720"/>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145A72"/>
    <w:multiLevelType w:val="hybridMultilevel"/>
    <w:tmpl w:val="84820760"/>
    <w:lvl w:ilvl="0" w:tplc="5436346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627D38"/>
    <w:multiLevelType w:val="hybridMultilevel"/>
    <w:tmpl w:val="22AA3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F0A50"/>
    <w:multiLevelType w:val="hybridMultilevel"/>
    <w:tmpl w:val="22AA3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974F3"/>
    <w:multiLevelType w:val="hybridMultilevel"/>
    <w:tmpl w:val="50D8ECC4"/>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6C83ECD"/>
    <w:multiLevelType w:val="hybridMultilevel"/>
    <w:tmpl w:val="121C158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EC0278A"/>
    <w:multiLevelType w:val="hybridMultilevel"/>
    <w:tmpl w:val="4AA2BFC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F2B420C"/>
    <w:multiLevelType w:val="hybridMultilevel"/>
    <w:tmpl w:val="F5E4C7F8"/>
    <w:lvl w:ilvl="0" w:tplc="1AF0D77A">
      <w:start w:val="1"/>
      <w:numFmt w:val="lowerRoman"/>
      <w:lvlText w:val="%1."/>
      <w:lvlJc w:val="right"/>
      <w:pPr>
        <w:ind w:left="2160" w:hanging="180"/>
      </w:pPr>
      <w:rPr>
        <w:b/>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576C1"/>
    <w:multiLevelType w:val="hybridMultilevel"/>
    <w:tmpl w:val="77F69E0E"/>
    <w:lvl w:ilvl="0" w:tplc="E4CAA8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246286"/>
    <w:multiLevelType w:val="hybridMultilevel"/>
    <w:tmpl w:val="ED6CEDF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0E3119"/>
    <w:multiLevelType w:val="hybridMultilevel"/>
    <w:tmpl w:val="689209E4"/>
    <w:lvl w:ilvl="0" w:tplc="6D525C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ED7F44"/>
    <w:multiLevelType w:val="hybridMultilevel"/>
    <w:tmpl w:val="A11E82E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40E87"/>
    <w:multiLevelType w:val="hybridMultilevel"/>
    <w:tmpl w:val="15326EF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B477604"/>
    <w:multiLevelType w:val="hybridMultilevel"/>
    <w:tmpl w:val="22AA3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E4C65"/>
    <w:multiLevelType w:val="hybridMultilevel"/>
    <w:tmpl w:val="414C5720"/>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90F2905"/>
    <w:multiLevelType w:val="hybridMultilevel"/>
    <w:tmpl w:val="64301BC6"/>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10"/>
  </w:num>
  <w:num w:numId="4">
    <w:abstractNumId w:val="12"/>
  </w:num>
  <w:num w:numId="5">
    <w:abstractNumId w:val="9"/>
  </w:num>
  <w:num w:numId="6">
    <w:abstractNumId w:val="6"/>
  </w:num>
  <w:num w:numId="7">
    <w:abstractNumId w:val="0"/>
  </w:num>
  <w:num w:numId="8">
    <w:abstractNumId w:val="13"/>
  </w:num>
  <w:num w:numId="9">
    <w:abstractNumId w:val="16"/>
  </w:num>
  <w:num w:numId="10">
    <w:abstractNumId w:val="5"/>
  </w:num>
  <w:num w:numId="11">
    <w:abstractNumId w:val="15"/>
  </w:num>
  <w:num w:numId="12">
    <w:abstractNumId w:val="3"/>
  </w:num>
  <w:num w:numId="13">
    <w:abstractNumId w:val="11"/>
  </w:num>
  <w:num w:numId="14">
    <w:abstractNumId w:val="17"/>
  </w:num>
  <w:num w:numId="15">
    <w:abstractNumId w:val="14"/>
  </w:num>
  <w:num w:numId="16">
    <w:abstractNumId w:val="2"/>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82"/>
    <w:rsid w:val="000235B9"/>
    <w:rsid w:val="000C57DA"/>
    <w:rsid w:val="001060FB"/>
    <w:rsid w:val="0013585A"/>
    <w:rsid w:val="00175005"/>
    <w:rsid w:val="001A6C85"/>
    <w:rsid w:val="001D6C27"/>
    <w:rsid w:val="00250584"/>
    <w:rsid w:val="00282726"/>
    <w:rsid w:val="002E381A"/>
    <w:rsid w:val="00381F0F"/>
    <w:rsid w:val="003A77C5"/>
    <w:rsid w:val="003A7DA3"/>
    <w:rsid w:val="003B072A"/>
    <w:rsid w:val="00423096"/>
    <w:rsid w:val="0043559E"/>
    <w:rsid w:val="00440139"/>
    <w:rsid w:val="00453088"/>
    <w:rsid w:val="004534D5"/>
    <w:rsid w:val="004774AB"/>
    <w:rsid w:val="00493F25"/>
    <w:rsid w:val="00566B82"/>
    <w:rsid w:val="00623895"/>
    <w:rsid w:val="00624D9A"/>
    <w:rsid w:val="00644F25"/>
    <w:rsid w:val="0067159A"/>
    <w:rsid w:val="00673182"/>
    <w:rsid w:val="006A09AA"/>
    <w:rsid w:val="006C350B"/>
    <w:rsid w:val="007230A7"/>
    <w:rsid w:val="0075085F"/>
    <w:rsid w:val="0076728D"/>
    <w:rsid w:val="0084707B"/>
    <w:rsid w:val="00864A08"/>
    <w:rsid w:val="008A4452"/>
    <w:rsid w:val="008D0EF2"/>
    <w:rsid w:val="008F0F85"/>
    <w:rsid w:val="008F1430"/>
    <w:rsid w:val="00921D62"/>
    <w:rsid w:val="0095340A"/>
    <w:rsid w:val="009D5144"/>
    <w:rsid w:val="00A520E5"/>
    <w:rsid w:val="00A55A69"/>
    <w:rsid w:val="00A623E7"/>
    <w:rsid w:val="00A74578"/>
    <w:rsid w:val="00AA3DDA"/>
    <w:rsid w:val="00AA64AE"/>
    <w:rsid w:val="00AD3678"/>
    <w:rsid w:val="00B275CC"/>
    <w:rsid w:val="00B96CC4"/>
    <w:rsid w:val="00BB3FA0"/>
    <w:rsid w:val="00BD416B"/>
    <w:rsid w:val="00C519E4"/>
    <w:rsid w:val="00C8637A"/>
    <w:rsid w:val="00C95A5D"/>
    <w:rsid w:val="00CF60A8"/>
    <w:rsid w:val="00D86739"/>
    <w:rsid w:val="00DA08F0"/>
    <w:rsid w:val="00DA4F34"/>
    <w:rsid w:val="00DF622E"/>
    <w:rsid w:val="00E46302"/>
    <w:rsid w:val="00E46938"/>
    <w:rsid w:val="00E65C70"/>
    <w:rsid w:val="00E8266C"/>
    <w:rsid w:val="00EA0F11"/>
    <w:rsid w:val="00EE7917"/>
    <w:rsid w:val="00EF4595"/>
    <w:rsid w:val="00F232B6"/>
    <w:rsid w:val="00F64499"/>
    <w:rsid w:val="00F86558"/>
    <w:rsid w:val="00F914BC"/>
    <w:rsid w:val="00FC21CD"/>
    <w:rsid w:val="00FC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6AFDF3"/>
  <w15:docId w15:val="{7D461E16-371B-45D8-A0AD-C23EC7F1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3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182"/>
  </w:style>
  <w:style w:type="paragraph" w:styleId="ListParagraph">
    <w:name w:val="List Paragraph"/>
    <w:basedOn w:val="Normal"/>
    <w:uiPriority w:val="34"/>
    <w:qFormat/>
    <w:rsid w:val="00673182"/>
    <w:pPr>
      <w:ind w:left="720"/>
      <w:contextualSpacing/>
    </w:pPr>
  </w:style>
  <w:style w:type="character" w:styleId="CommentReference">
    <w:name w:val="annotation reference"/>
    <w:basedOn w:val="DefaultParagraphFont"/>
    <w:uiPriority w:val="99"/>
    <w:semiHidden/>
    <w:unhideWhenUsed/>
    <w:rsid w:val="00673182"/>
    <w:rPr>
      <w:sz w:val="16"/>
      <w:szCs w:val="16"/>
    </w:rPr>
  </w:style>
  <w:style w:type="paragraph" w:styleId="CommentText">
    <w:name w:val="annotation text"/>
    <w:basedOn w:val="Normal"/>
    <w:link w:val="CommentTextChar"/>
    <w:uiPriority w:val="99"/>
    <w:semiHidden/>
    <w:unhideWhenUsed/>
    <w:rsid w:val="00673182"/>
    <w:pPr>
      <w:spacing w:line="240" w:lineRule="auto"/>
    </w:pPr>
    <w:rPr>
      <w:sz w:val="20"/>
      <w:szCs w:val="20"/>
    </w:rPr>
  </w:style>
  <w:style w:type="character" w:customStyle="1" w:styleId="CommentTextChar">
    <w:name w:val="Comment Text Char"/>
    <w:basedOn w:val="DefaultParagraphFont"/>
    <w:link w:val="CommentText"/>
    <w:uiPriority w:val="99"/>
    <w:semiHidden/>
    <w:rsid w:val="00673182"/>
    <w:rPr>
      <w:sz w:val="20"/>
      <w:szCs w:val="20"/>
    </w:rPr>
  </w:style>
  <w:style w:type="character" w:styleId="Hyperlink">
    <w:name w:val="Hyperlink"/>
    <w:basedOn w:val="DefaultParagraphFont"/>
    <w:uiPriority w:val="99"/>
    <w:unhideWhenUsed/>
    <w:rsid w:val="00673182"/>
    <w:rPr>
      <w:color w:val="0000FF" w:themeColor="hyperlink"/>
      <w:u w:val="single"/>
    </w:rPr>
  </w:style>
  <w:style w:type="paragraph" w:styleId="BalloonText">
    <w:name w:val="Balloon Text"/>
    <w:basedOn w:val="Normal"/>
    <w:link w:val="BalloonTextChar"/>
    <w:uiPriority w:val="99"/>
    <w:semiHidden/>
    <w:unhideWhenUsed/>
    <w:rsid w:val="00673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182"/>
    <w:rPr>
      <w:rFonts w:ascii="Tahoma" w:hAnsi="Tahoma" w:cs="Tahoma"/>
      <w:sz w:val="16"/>
      <w:szCs w:val="16"/>
    </w:rPr>
  </w:style>
  <w:style w:type="paragraph" w:styleId="Header">
    <w:name w:val="header"/>
    <w:basedOn w:val="Normal"/>
    <w:link w:val="HeaderChar"/>
    <w:uiPriority w:val="99"/>
    <w:unhideWhenUsed/>
    <w:rsid w:val="00673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182"/>
  </w:style>
  <w:style w:type="paragraph" w:styleId="CommentSubject">
    <w:name w:val="annotation subject"/>
    <w:basedOn w:val="CommentText"/>
    <w:next w:val="CommentText"/>
    <w:link w:val="CommentSubjectChar"/>
    <w:uiPriority w:val="99"/>
    <w:semiHidden/>
    <w:unhideWhenUsed/>
    <w:rsid w:val="00DF622E"/>
    <w:rPr>
      <w:b/>
      <w:bCs/>
    </w:rPr>
  </w:style>
  <w:style w:type="character" w:customStyle="1" w:styleId="CommentSubjectChar">
    <w:name w:val="Comment Subject Char"/>
    <w:basedOn w:val="CommentTextChar"/>
    <w:link w:val="CommentSubject"/>
    <w:uiPriority w:val="99"/>
    <w:semiHidden/>
    <w:rsid w:val="00DF622E"/>
    <w:rPr>
      <w:b/>
      <w:bCs/>
      <w:sz w:val="20"/>
      <w:szCs w:val="20"/>
    </w:rPr>
  </w:style>
  <w:style w:type="character" w:styleId="FollowedHyperlink">
    <w:name w:val="FollowedHyperlink"/>
    <w:basedOn w:val="DefaultParagraphFont"/>
    <w:uiPriority w:val="99"/>
    <w:semiHidden/>
    <w:unhideWhenUsed/>
    <w:rsid w:val="002827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gunahillsca.gov/planchecksubmittalinstructions" TargetMode="External"/><Relationship Id="rId4" Type="http://schemas.openxmlformats.org/officeDocument/2006/relationships/settings" Target="settings.xml"/><Relationship Id="rId9" Type="http://schemas.openxmlformats.org/officeDocument/2006/relationships/hyperlink" Target="http://lagunahillsca.gov/eplan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8B644-9BB3-4C7C-9EF2-7E654EC8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CCSE</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greneau@jurupavalley.org</dc:creator>
  <cp:lastModifiedBy>Jennifer Lee</cp:lastModifiedBy>
  <cp:revision>9</cp:revision>
  <cp:lastPrinted>2017-08-24T16:59:00Z</cp:lastPrinted>
  <dcterms:created xsi:type="dcterms:W3CDTF">2018-01-04T17:37:00Z</dcterms:created>
  <dcterms:modified xsi:type="dcterms:W3CDTF">2018-01-04T18:28:00Z</dcterms:modified>
</cp:coreProperties>
</file>